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B3F50" w14:textId="77777777" w:rsidR="00843538" w:rsidRPr="00843538" w:rsidRDefault="00843538" w:rsidP="00843538">
      <w:pPr>
        <w:jc w:val="center"/>
      </w:pPr>
      <w:r w:rsidRPr="00843538">
        <w:rPr>
          <w:noProof/>
          <w:lang w:eastAsia="en-US"/>
        </w:rPr>
        <w:drawing>
          <wp:inline distT="0" distB="0" distL="0" distR="0" wp14:anchorId="1CF52000" wp14:editId="02D9501C">
            <wp:extent cx="2068059" cy="1249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png"/>
                    <pic:cNvPicPr/>
                  </pic:nvPicPr>
                  <pic:blipFill>
                    <a:blip r:embed="rId6">
                      <a:extLst>
                        <a:ext uri="{28A0092B-C50C-407E-A947-70E740481C1C}">
                          <a14:useLocalDpi xmlns:a14="http://schemas.microsoft.com/office/drawing/2010/main" val="0"/>
                        </a:ext>
                      </a:extLst>
                    </a:blip>
                    <a:stretch>
                      <a:fillRect/>
                    </a:stretch>
                  </pic:blipFill>
                  <pic:spPr>
                    <a:xfrm>
                      <a:off x="0" y="0"/>
                      <a:ext cx="2069146" cy="1249869"/>
                    </a:xfrm>
                    <a:prstGeom prst="rect">
                      <a:avLst/>
                    </a:prstGeom>
                  </pic:spPr>
                </pic:pic>
              </a:graphicData>
            </a:graphic>
          </wp:inline>
        </w:drawing>
      </w:r>
    </w:p>
    <w:p w14:paraId="7B58B64D" w14:textId="77777777" w:rsidR="00843538" w:rsidRPr="00843538" w:rsidRDefault="00843538" w:rsidP="00843538">
      <w:pPr>
        <w:jc w:val="center"/>
      </w:pPr>
    </w:p>
    <w:p w14:paraId="1556AACD" w14:textId="77777777" w:rsidR="00843538" w:rsidRPr="00843538" w:rsidRDefault="00843538" w:rsidP="00843538">
      <w:pPr>
        <w:jc w:val="center"/>
      </w:pPr>
    </w:p>
    <w:p w14:paraId="38E333A5" w14:textId="77777777" w:rsidR="00843538" w:rsidRPr="00843538" w:rsidRDefault="00843538" w:rsidP="00843538">
      <w:pPr>
        <w:jc w:val="center"/>
        <w:rPr>
          <w:sz w:val="32"/>
          <w:szCs w:val="32"/>
        </w:rPr>
      </w:pPr>
      <w:r w:rsidRPr="00843538">
        <w:rPr>
          <w:b/>
          <w:bCs/>
          <w:sz w:val="32"/>
          <w:szCs w:val="32"/>
        </w:rPr>
        <w:t>ADVANTAGES FOR THE INDEPENDENT CONTRACTOR</w:t>
      </w:r>
    </w:p>
    <w:p w14:paraId="7F410B1E" w14:textId="77777777" w:rsidR="00843538" w:rsidRPr="00843538" w:rsidRDefault="00843538" w:rsidP="00843538">
      <w:pPr>
        <w:rPr>
          <w:b/>
          <w:bCs/>
          <w:u w:val="single"/>
        </w:rPr>
      </w:pPr>
    </w:p>
    <w:p w14:paraId="7D54775B" w14:textId="77777777" w:rsidR="00843538" w:rsidRPr="00843538" w:rsidRDefault="00843538" w:rsidP="00843538">
      <w:pPr>
        <w:rPr>
          <w:sz w:val="23"/>
          <w:szCs w:val="23"/>
        </w:rPr>
      </w:pPr>
      <w:r w:rsidRPr="00843538">
        <w:rPr>
          <w:b/>
          <w:bCs/>
          <w:sz w:val="23"/>
          <w:szCs w:val="23"/>
          <w:u w:val="single"/>
        </w:rPr>
        <w:t xml:space="preserve">Flexibility </w:t>
      </w:r>
    </w:p>
    <w:p w14:paraId="2C73C8D5" w14:textId="77777777" w:rsidR="00843538" w:rsidRPr="00843538" w:rsidRDefault="00843538" w:rsidP="00843538">
      <w:pPr>
        <w:rPr>
          <w:sz w:val="20"/>
          <w:szCs w:val="20"/>
        </w:rPr>
      </w:pPr>
      <w:r w:rsidRPr="00843538">
        <w:rPr>
          <w:sz w:val="20"/>
          <w:szCs w:val="20"/>
        </w:rPr>
        <w:t xml:space="preserve">As an Independent Contractor, you are your own boss. You are free to accept or decline work opportunities. You determine when you work, how many hours, and how you do your work (as long as it is within the professional standards of your discipline).  Independent Contractors enjoy far more freedom and flexibility in this regard than do employees. </w:t>
      </w:r>
    </w:p>
    <w:p w14:paraId="70EC6712" w14:textId="77777777" w:rsidR="00843538" w:rsidRPr="00843538" w:rsidRDefault="00843538" w:rsidP="00843538"/>
    <w:p w14:paraId="383B199F" w14:textId="77777777" w:rsidR="00843538" w:rsidRPr="00843538" w:rsidRDefault="00843538" w:rsidP="00843538">
      <w:pPr>
        <w:rPr>
          <w:sz w:val="23"/>
          <w:szCs w:val="23"/>
        </w:rPr>
      </w:pPr>
      <w:r w:rsidRPr="00843538">
        <w:rPr>
          <w:b/>
          <w:bCs/>
          <w:sz w:val="23"/>
          <w:szCs w:val="23"/>
          <w:u w:val="single"/>
        </w:rPr>
        <w:t xml:space="preserve">Expenses </w:t>
      </w:r>
    </w:p>
    <w:p w14:paraId="4E52BACF" w14:textId="77777777" w:rsidR="00843538" w:rsidRPr="00843538" w:rsidRDefault="00843538" w:rsidP="00843538">
      <w:pPr>
        <w:rPr>
          <w:i/>
          <w:iCs/>
          <w:sz w:val="20"/>
          <w:szCs w:val="20"/>
        </w:rPr>
      </w:pPr>
      <w:r w:rsidRPr="00843538">
        <w:rPr>
          <w:sz w:val="20"/>
          <w:szCs w:val="20"/>
        </w:rPr>
        <w:t xml:space="preserve">Independent Contractors’ expenses are tax-deductible. This means that when tax time comes, you will be able to make dollar for dollar deductions against your Independent Contractor income most of your expenses. All your income and expenses are reported on Federal Form Schedule C. </w:t>
      </w:r>
      <w:r w:rsidRPr="00843538">
        <w:rPr>
          <w:i/>
          <w:iCs/>
          <w:sz w:val="20"/>
          <w:szCs w:val="20"/>
        </w:rPr>
        <w:t>Please consult your accountant for more details.</w:t>
      </w:r>
    </w:p>
    <w:p w14:paraId="56D56D11" w14:textId="77777777" w:rsidR="00843538" w:rsidRPr="00843538" w:rsidRDefault="00843538" w:rsidP="00843538">
      <w:pPr>
        <w:rPr>
          <w:sz w:val="20"/>
          <w:szCs w:val="20"/>
        </w:rPr>
      </w:pPr>
    </w:p>
    <w:p w14:paraId="54C60528" w14:textId="77777777" w:rsidR="00843538" w:rsidRPr="00843538" w:rsidRDefault="00843538" w:rsidP="00843538">
      <w:pPr>
        <w:rPr>
          <w:sz w:val="20"/>
          <w:szCs w:val="20"/>
        </w:rPr>
      </w:pPr>
      <w:r w:rsidRPr="00843538">
        <w:rPr>
          <w:sz w:val="20"/>
          <w:szCs w:val="20"/>
        </w:rPr>
        <w:t xml:space="preserve">The following are the types of expenses you may deduct. </w:t>
      </w:r>
    </w:p>
    <w:p w14:paraId="4BC0C385" w14:textId="77777777" w:rsidR="00843538" w:rsidRPr="00843538" w:rsidRDefault="00843538" w:rsidP="00843538">
      <w:pPr>
        <w:numPr>
          <w:ilvl w:val="0"/>
          <w:numId w:val="1"/>
        </w:numPr>
        <w:rPr>
          <w:sz w:val="20"/>
          <w:szCs w:val="20"/>
        </w:rPr>
      </w:pPr>
      <w:r w:rsidRPr="00843538">
        <w:rPr>
          <w:sz w:val="20"/>
          <w:szCs w:val="20"/>
        </w:rPr>
        <w:t xml:space="preserve">Automobile Expenses </w:t>
      </w:r>
    </w:p>
    <w:p w14:paraId="3D19A60D" w14:textId="77777777" w:rsidR="00843538" w:rsidRPr="00843538" w:rsidRDefault="00843538" w:rsidP="00843538">
      <w:pPr>
        <w:numPr>
          <w:ilvl w:val="0"/>
          <w:numId w:val="1"/>
        </w:numPr>
        <w:rPr>
          <w:sz w:val="20"/>
          <w:szCs w:val="20"/>
        </w:rPr>
      </w:pPr>
      <w:r w:rsidRPr="00843538">
        <w:rPr>
          <w:sz w:val="20"/>
          <w:szCs w:val="20"/>
        </w:rPr>
        <w:t xml:space="preserve">Computer Hardware &amp; Supplies </w:t>
      </w:r>
    </w:p>
    <w:p w14:paraId="1C04074F" w14:textId="77777777" w:rsidR="00843538" w:rsidRPr="00843538" w:rsidRDefault="00843538" w:rsidP="00843538">
      <w:pPr>
        <w:numPr>
          <w:ilvl w:val="0"/>
          <w:numId w:val="1"/>
        </w:numPr>
        <w:rPr>
          <w:sz w:val="20"/>
          <w:szCs w:val="20"/>
        </w:rPr>
      </w:pPr>
      <w:r w:rsidRPr="00843538">
        <w:rPr>
          <w:sz w:val="20"/>
          <w:szCs w:val="20"/>
        </w:rPr>
        <w:t xml:space="preserve">Equipment Leasing/purchases </w:t>
      </w:r>
    </w:p>
    <w:p w14:paraId="61991938" w14:textId="77777777" w:rsidR="00843538" w:rsidRPr="00843538" w:rsidRDefault="00843538" w:rsidP="00843538">
      <w:pPr>
        <w:numPr>
          <w:ilvl w:val="0"/>
          <w:numId w:val="1"/>
        </w:numPr>
        <w:rPr>
          <w:sz w:val="20"/>
          <w:szCs w:val="20"/>
        </w:rPr>
      </w:pPr>
      <w:r w:rsidRPr="00843538">
        <w:rPr>
          <w:sz w:val="20"/>
          <w:szCs w:val="20"/>
        </w:rPr>
        <w:t xml:space="preserve">Dues and Subscriptions </w:t>
      </w:r>
    </w:p>
    <w:p w14:paraId="49696A09" w14:textId="77777777" w:rsidR="00843538" w:rsidRPr="00843538" w:rsidRDefault="00843538" w:rsidP="00843538">
      <w:pPr>
        <w:numPr>
          <w:ilvl w:val="0"/>
          <w:numId w:val="1"/>
        </w:numPr>
        <w:rPr>
          <w:sz w:val="20"/>
          <w:szCs w:val="20"/>
        </w:rPr>
      </w:pPr>
      <w:r w:rsidRPr="00843538">
        <w:rPr>
          <w:sz w:val="20"/>
          <w:szCs w:val="20"/>
        </w:rPr>
        <w:t xml:space="preserve">Interest Expenses </w:t>
      </w:r>
    </w:p>
    <w:p w14:paraId="6C15BC4D" w14:textId="77777777" w:rsidR="00843538" w:rsidRPr="00843538" w:rsidRDefault="00843538" w:rsidP="00843538">
      <w:pPr>
        <w:numPr>
          <w:ilvl w:val="0"/>
          <w:numId w:val="1"/>
        </w:numPr>
        <w:rPr>
          <w:sz w:val="20"/>
          <w:szCs w:val="20"/>
        </w:rPr>
      </w:pPr>
      <w:r w:rsidRPr="00843538">
        <w:rPr>
          <w:sz w:val="20"/>
          <w:szCs w:val="20"/>
        </w:rPr>
        <w:t xml:space="preserve">Insurance Expenses </w:t>
      </w:r>
    </w:p>
    <w:p w14:paraId="18E5B86E" w14:textId="77777777" w:rsidR="00843538" w:rsidRPr="00843538" w:rsidRDefault="00843538" w:rsidP="00843538">
      <w:pPr>
        <w:numPr>
          <w:ilvl w:val="0"/>
          <w:numId w:val="1"/>
        </w:numPr>
        <w:rPr>
          <w:sz w:val="20"/>
          <w:szCs w:val="20"/>
        </w:rPr>
      </w:pPr>
      <w:r w:rsidRPr="00843538">
        <w:rPr>
          <w:sz w:val="20"/>
          <w:szCs w:val="20"/>
        </w:rPr>
        <w:t xml:space="preserve">Professional Licenses </w:t>
      </w:r>
    </w:p>
    <w:p w14:paraId="3FE12183" w14:textId="77777777" w:rsidR="00843538" w:rsidRPr="00843538" w:rsidRDefault="00843538" w:rsidP="00843538">
      <w:pPr>
        <w:numPr>
          <w:ilvl w:val="0"/>
          <w:numId w:val="1"/>
        </w:numPr>
        <w:rPr>
          <w:sz w:val="20"/>
          <w:szCs w:val="20"/>
        </w:rPr>
      </w:pPr>
      <w:r w:rsidRPr="00843538">
        <w:rPr>
          <w:sz w:val="20"/>
          <w:szCs w:val="20"/>
        </w:rPr>
        <w:t xml:space="preserve">Office Supplies &amp; Equipment </w:t>
      </w:r>
    </w:p>
    <w:p w14:paraId="3ACF785B" w14:textId="77777777" w:rsidR="00843538" w:rsidRPr="00843538" w:rsidRDefault="00843538" w:rsidP="00843538">
      <w:pPr>
        <w:numPr>
          <w:ilvl w:val="0"/>
          <w:numId w:val="1"/>
        </w:numPr>
        <w:rPr>
          <w:sz w:val="20"/>
          <w:szCs w:val="20"/>
        </w:rPr>
      </w:pPr>
      <w:r w:rsidRPr="00843538">
        <w:rPr>
          <w:sz w:val="20"/>
          <w:szCs w:val="20"/>
        </w:rPr>
        <w:t xml:space="preserve">Printing and Copying  </w:t>
      </w:r>
    </w:p>
    <w:p w14:paraId="444905C3" w14:textId="77777777" w:rsidR="00843538" w:rsidRPr="00843538" w:rsidRDefault="00843538" w:rsidP="00843538">
      <w:pPr>
        <w:numPr>
          <w:ilvl w:val="0"/>
          <w:numId w:val="1"/>
        </w:numPr>
        <w:rPr>
          <w:sz w:val="20"/>
          <w:szCs w:val="20"/>
        </w:rPr>
      </w:pPr>
      <w:r w:rsidRPr="00843538">
        <w:rPr>
          <w:sz w:val="20"/>
          <w:szCs w:val="20"/>
        </w:rPr>
        <w:t xml:space="preserve">Professional Services (legal, accounting, etc.) </w:t>
      </w:r>
    </w:p>
    <w:p w14:paraId="406EE75A" w14:textId="77777777" w:rsidR="00843538" w:rsidRPr="00843538" w:rsidRDefault="00843538" w:rsidP="00843538">
      <w:pPr>
        <w:numPr>
          <w:ilvl w:val="0"/>
          <w:numId w:val="1"/>
        </w:numPr>
        <w:rPr>
          <w:sz w:val="20"/>
          <w:szCs w:val="20"/>
        </w:rPr>
      </w:pPr>
      <w:r w:rsidRPr="00843538">
        <w:rPr>
          <w:sz w:val="20"/>
          <w:szCs w:val="20"/>
        </w:rPr>
        <w:t xml:space="preserve">Continuing Education </w:t>
      </w:r>
    </w:p>
    <w:p w14:paraId="79AE358B" w14:textId="77777777" w:rsidR="00843538" w:rsidRPr="00843538" w:rsidRDefault="00843538" w:rsidP="00843538">
      <w:pPr>
        <w:numPr>
          <w:ilvl w:val="0"/>
          <w:numId w:val="1"/>
        </w:numPr>
        <w:rPr>
          <w:sz w:val="20"/>
          <w:szCs w:val="20"/>
        </w:rPr>
      </w:pPr>
      <w:r w:rsidRPr="00843538">
        <w:rPr>
          <w:sz w:val="20"/>
          <w:szCs w:val="20"/>
        </w:rPr>
        <w:t xml:space="preserve">Telephone </w:t>
      </w:r>
    </w:p>
    <w:p w14:paraId="2B490B23" w14:textId="77777777" w:rsidR="000C27D4" w:rsidRDefault="000C27D4"/>
    <w:p w14:paraId="2C3CF816" w14:textId="77777777" w:rsidR="00843538" w:rsidRPr="00843538" w:rsidRDefault="00843538" w:rsidP="00843538">
      <w:pPr>
        <w:rPr>
          <w:sz w:val="23"/>
          <w:szCs w:val="23"/>
          <w:u w:val="single"/>
        </w:rPr>
      </w:pPr>
      <w:r w:rsidRPr="00843538">
        <w:rPr>
          <w:b/>
          <w:bCs/>
          <w:sz w:val="23"/>
          <w:szCs w:val="23"/>
          <w:u w:val="single"/>
        </w:rPr>
        <w:t xml:space="preserve">Retirement/Savings Plan </w:t>
      </w:r>
    </w:p>
    <w:p w14:paraId="3A062A93" w14:textId="77777777" w:rsidR="00843538" w:rsidRPr="00843538" w:rsidRDefault="00843538" w:rsidP="00843538">
      <w:pPr>
        <w:rPr>
          <w:sz w:val="20"/>
          <w:szCs w:val="20"/>
        </w:rPr>
      </w:pPr>
      <w:r w:rsidRPr="00843538">
        <w:rPr>
          <w:sz w:val="20"/>
          <w:szCs w:val="20"/>
        </w:rPr>
        <w:t xml:space="preserve">Being independent offers tax saving and retirement savings opportunities by setting up a retirement/savings plan. </w:t>
      </w:r>
    </w:p>
    <w:p w14:paraId="199C274A" w14:textId="77777777" w:rsidR="00843538" w:rsidRPr="00843538" w:rsidRDefault="00843538" w:rsidP="00843538">
      <w:pPr>
        <w:rPr>
          <w:sz w:val="20"/>
          <w:szCs w:val="20"/>
        </w:rPr>
      </w:pPr>
    </w:p>
    <w:p w14:paraId="169C0C37" w14:textId="77777777" w:rsidR="00843538" w:rsidRPr="00843538" w:rsidRDefault="00843538" w:rsidP="00843538">
      <w:pPr>
        <w:rPr>
          <w:sz w:val="20"/>
          <w:szCs w:val="20"/>
        </w:rPr>
      </w:pPr>
      <w:r w:rsidRPr="00843538">
        <w:rPr>
          <w:sz w:val="20"/>
          <w:szCs w:val="20"/>
        </w:rPr>
        <w:t xml:space="preserve">A </w:t>
      </w:r>
      <w:hyperlink r:id="rId7" w:history="1">
        <w:r w:rsidRPr="00843538">
          <w:rPr>
            <w:rStyle w:val="Hyperlink"/>
            <w:sz w:val="20"/>
            <w:szCs w:val="20"/>
          </w:rPr>
          <w:t>Simplified Employee Pension Plan</w:t>
        </w:r>
      </w:hyperlink>
      <w:r w:rsidRPr="00843538">
        <w:rPr>
          <w:sz w:val="20"/>
          <w:szCs w:val="20"/>
        </w:rPr>
        <w:t xml:space="preserve"> is a popular choice for </w:t>
      </w:r>
      <w:r w:rsidR="00D160DF">
        <w:rPr>
          <w:sz w:val="20"/>
          <w:szCs w:val="20"/>
        </w:rPr>
        <w:t>Independent Contractors</w:t>
      </w:r>
      <w:r w:rsidRPr="00843538">
        <w:rPr>
          <w:sz w:val="20"/>
          <w:szCs w:val="20"/>
        </w:rPr>
        <w:t xml:space="preserve">. These contributions are tax-deductible up to an amount established by the Federal government each year. Please contact your financial advisor to discuss retirement/savings plan opportunities. </w:t>
      </w:r>
    </w:p>
    <w:p w14:paraId="7B8D54A5" w14:textId="77777777" w:rsidR="00843538" w:rsidRPr="00843538" w:rsidRDefault="00843538" w:rsidP="00843538"/>
    <w:p w14:paraId="77F546C2" w14:textId="77777777" w:rsidR="00843538" w:rsidRPr="00843538" w:rsidRDefault="00843538" w:rsidP="00843538">
      <w:pPr>
        <w:rPr>
          <w:sz w:val="23"/>
          <w:szCs w:val="23"/>
          <w:u w:val="single"/>
        </w:rPr>
      </w:pPr>
      <w:r w:rsidRPr="00843538">
        <w:rPr>
          <w:b/>
          <w:bCs/>
          <w:sz w:val="23"/>
          <w:szCs w:val="23"/>
          <w:u w:val="single"/>
        </w:rPr>
        <w:t xml:space="preserve">Taxes </w:t>
      </w:r>
    </w:p>
    <w:p w14:paraId="17A87465" w14:textId="77777777" w:rsidR="00843538" w:rsidRPr="00843538" w:rsidRDefault="00843538" w:rsidP="00843538">
      <w:pPr>
        <w:rPr>
          <w:sz w:val="20"/>
          <w:szCs w:val="20"/>
        </w:rPr>
      </w:pPr>
      <w:r w:rsidRPr="00843538">
        <w:rPr>
          <w:sz w:val="20"/>
          <w:szCs w:val="20"/>
        </w:rPr>
        <w:t xml:space="preserve">When you are an Independent Contractor with Harris Scott Group LLC, you will receive semi-monthly checks in gross wages and therefore responsible for paying your own federal and state taxes. </w:t>
      </w:r>
    </w:p>
    <w:p w14:paraId="3485FA2B" w14:textId="77777777" w:rsidR="00843538" w:rsidRPr="00843538" w:rsidRDefault="00843538" w:rsidP="00843538">
      <w:pPr>
        <w:rPr>
          <w:sz w:val="20"/>
          <w:szCs w:val="20"/>
        </w:rPr>
      </w:pPr>
      <w:r w:rsidRPr="00843538">
        <w:rPr>
          <w:sz w:val="20"/>
          <w:szCs w:val="20"/>
        </w:rPr>
        <w:t xml:space="preserve">The process is simple. Quarterly, you will have to pay </w:t>
      </w:r>
      <w:hyperlink r:id="rId8" w:history="1">
        <w:r w:rsidRPr="00843538">
          <w:rPr>
            <w:rStyle w:val="Hyperlink"/>
            <w:sz w:val="20"/>
            <w:szCs w:val="20"/>
          </w:rPr>
          <w:t>estimated quarterly taxes</w:t>
        </w:r>
      </w:hyperlink>
      <w:r w:rsidRPr="00843538">
        <w:rPr>
          <w:sz w:val="20"/>
          <w:szCs w:val="20"/>
        </w:rPr>
        <w:t xml:space="preserve"> to the government.  You accountant will assist you in your estimated tax payments. </w:t>
      </w:r>
    </w:p>
    <w:p w14:paraId="12DB154C" w14:textId="77777777" w:rsidR="00843538" w:rsidRPr="00843538" w:rsidRDefault="00843538" w:rsidP="00843538"/>
    <w:p w14:paraId="79CCB7A2" w14:textId="77777777" w:rsidR="00843538" w:rsidRPr="00843538" w:rsidRDefault="00843538" w:rsidP="00843538">
      <w:pPr>
        <w:rPr>
          <w:sz w:val="23"/>
          <w:szCs w:val="23"/>
          <w:u w:val="single"/>
        </w:rPr>
      </w:pPr>
      <w:r w:rsidRPr="00843538">
        <w:rPr>
          <w:b/>
          <w:bCs/>
          <w:sz w:val="23"/>
          <w:szCs w:val="23"/>
          <w:u w:val="single"/>
        </w:rPr>
        <w:lastRenderedPageBreak/>
        <w:t xml:space="preserve">Summary </w:t>
      </w:r>
    </w:p>
    <w:p w14:paraId="3DADB671" w14:textId="77777777" w:rsidR="00843538" w:rsidRPr="00843538" w:rsidRDefault="00843538" w:rsidP="00843538">
      <w:pPr>
        <w:rPr>
          <w:sz w:val="20"/>
          <w:szCs w:val="20"/>
        </w:rPr>
      </w:pPr>
      <w:r w:rsidRPr="00843538">
        <w:rPr>
          <w:sz w:val="20"/>
          <w:szCs w:val="20"/>
        </w:rPr>
        <w:t xml:space="preserve">Contracting allows for a number of tangible advantages that one cannot receive when working as an employee. </w:t>
      </w:r>
    </w:p>
    <w:p w14:paraId="4C3CD8CE" w14:textId="77777777" w:rsidR="00843538" w:rsidRPr="00843538" w:rsidRDefault="00843538" w:rsidP="00843538">
      <w:pPr>
        <w:rPr>
          <w:sz w:val="20"/>
          <w:szCs w:val="20"/>
        </w:rPr>
      </w:pPr>
    </w:p>
    <w:p w14:paraId="555622D0" w14:textId="77777777" w:rsidR="00843538" w:rsidRPr="00843538" w:rsidRDefault="00843538" w:rsidP="00843538">
      <w:pPr>
        <w:numPr>
          <w:ilvl w:val="0"/>
          <w:numId w:val="2"/>
        </w:numPr>
        <w:rPr>
          <w:sz w:val="20"/>
          <w:szCs w:val="20"/>
        </w:rPr>
      </w:pPr>
      <w:r w:rsidRPr="00843538">
        <w:rPr>
          <w:sz w:val="20"/>
          <w:szCs w:val="20"/>
        </w:rPr>
        <w:t xml:space="preserve">Higher annual income </w:t>
      </w:r>
    </w:p>
    <w:p w14:paraId="64826671" w14:textId="77777777" w:rsidR="00843538" w:rsidRPr="00843538" w:rsidRDefault="00843538" w:rsidP="00843538">
      <w:pPr>
        <w:numPr>
          <w:ilvl w:val="0"/>
          <w:numId w:val="2"/>
        </w:numPr>
        <w:rPr>
          <w:sz w:val="20"/>
          <w:szCs w:val="20"/>
        </w:rPr>
      </w:pPr>
      <w:r w:rsidRPr="00843538">
        <w:rPr>
          <w:sz w:val="20"/>
          <w:szCs w:val="20"/>
        </w:rPr>
        <w:t xml:space="preserve">Great tax deductions </w:t>
      </w:r>
    </w:p>
    <w:p w14:paraId="79A0F7EE" w14:textId="77777777" w:rsidR="00843538" w:rsidRPr="00843538" w:rsidRDefault="00843538" w:rsidP="00843538">
      <w:pPr>
        <w:numPr>
          <w:ilvl w:val="0"/>
          <w:numId w:val="2"/>
        </w:numPr>
        <w:rPr>
          <w:sz w:val="20"/>
          <w:szCs w:val="20"/>
        </w:rPr>
      </w:pPr>
      <w:r w:rsidRPr="00843538">
        <w:rPr>
          <w:sz w:val="20"/>
          <w:szCs w:val="20"/>
        </w:rPr>
        <w:t xml:space="preserve">Unlimited professional flexibility </w:t>
      </w:r>
    </w:p>
    <w:p w14:paraId="2F546178" w14:textId="77777777" w:rsidR="00843538" w:rsidRPr="00843538" w:rsidRDefault="00843538" w:rsidP="00843538">
      <w:pPr>
        <w:rPr>
          <w:sz w:val="20"/>
          <w:szCs w:val="20"/>
        </w:rPr>
      </w:pPr>
    </w:p>
    <w:p w14:paraId="532C03BF" w14:textId="77777777" w:rsidR="00843538" w:rsidRPr="00843538" w:rsidRDefault="00843538" w:rsidP="00843538">
      <w:pPr>
        <w:jc w:val="center"/>
        <w:rPr>
          <w:i/>
          <w:iCs/>
        </w:rPr>
      </w:pPr>
      <w:r w:rsidRPr="00843538">
        <w:rPr>
          <w:i/>
          <w:iCs/>
        </w:rPr>
        <w:t>TOGETHER WE WILL SHAPE THE FUTURE</w:t>
      </w:r>
    </w:p>
    <w:p w14:paraId="5A989758" w14:textId="77777777" w:rsidR="00843538" w:rsidRPr="00843538" w:rsidRDefault="00843538" w:rsidP="00843538">
      <w:pPr>
        <w:jc w:val="center"/>
        <w:rPr>
          <w:b/>
          <w:bCs/>
          <w:sz w:val="20"/>
          <w:szCs w:val="20"/>
        </w:rPr>
      </w:pPr>
    </w:p>
    <w:p w14:paraId="2AF2E675" w14:textId="7589DBCE" w:rsidR="00843538" w:rsidRPr="00843538" w:rsidRDefault="00843538" w:rsidP="00843538">
      <w:pPr>
        <w:rPr>
          <w:b/>
          <w:bCs/>
          <w:sz w:val="20"/>
          <w:szCs w:val="20"/>
        </w:rPr>
      </w:pPr>
      <w:r w:rsidRPr="00843538">
        <w:rPr>
          <w:b/>
          <w:bCs/>
          <w:sz w:val="20"/>
          <w:szCs w:val="20"/>
        </w:rPr>
        <w:t>Please contact your attorney, accountant and/or financial consultant to confirm the benefits applicable to your situation.  Harris Scott Group</w:t>
      </w:r>
      <w:r w:rsidR="00E16990">
        <w:rPr>
          <w:b/>
          <w:bCs/>
          <w:sz w:val="20"/>
          <w:szCs w:val="20"/>
        </w:rPr>
        <w:t>,LLC</w:t>
      </w:r>
      <w:bookmarkStart w:id="0" w:name="_GoBack"/>
      <w:bookmarkEnd w:id="0"/>
      <w:r w:rsidRPr="00843538">
        <w:rPr>
          <w:b/>
          <w:bCs/>
          <w:sz w:val="20"/>
          <w:szCs w:val="20"/>
        </w:rPr>
        <w:t xml:space="preserve"> cannot offer legal or financial advise.</w:t>
      </w:r>
    </w:p>
    <w:p w14:paraId="437FE807" w14:textId="77777777" w:rsidR="00843538" w:rsidRDefault="00843538"/>
    <w:sectPr w:rsidR="00843538" w:rsidSect="000C27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3DCE"/>
    <w:multiLevelType w:val="hybridMultilevel"/>
    <w:tmpl w:val="738E84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697ED2"/>
    <w:multiLevelType w:val="hybridMultilevel"/>
    <w:tmpl w:val="1518A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38"/>
    <w:rsid w:val="000C27D4"/>
    <w:rsid w:val="00162888"/>
    <w:rsid w:val="00432BE1"/>
    <w:rsid w:val="00843538"/>
    <w:rsid w:val="00D160DF"/>
    <w:rsid w:val="00E1699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CBD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5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538"/>
    <w:rPr>
      <w:rFonts w:ascii="Lucida Grande" w:hAnsi="Lucida Grande" w:cs="Lucida Grande"/>
      <w:sz w:val="18"/>
      <w:szCs w:val="18"/>
    </w:rPr>
  </w:style>
  <w:style w:type="character" w:styleId="Hyperlink">
    <w:name w:val="Hyperlink"/>
    <w:basedOn w:val="DefaultParagraphFont"/>
    <w:uiPriority w:val="99"/>
    <w:unhideWhenUsed/>
    <w:rsid w:val="00843538"/>
    <w:rPr>
      <w:color w:val="0000FF" w:themeColor="hyperlink"/>
      <w:u w:val="single"/>
    </w:rPr>
  </w:style>
  <w:style w:type="character" w:styleId="FollowedHyperlink">
    <w:name w:val="FollowedHyperlink"/>
    <w:basedOn w:val="DefaultParagraphFont"/>
    <w:uiPriority w:val="99"/>
    <w:semiHidden/>
    <w:unhideWhenUsed/>
    <w:rsid w:val="0084353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5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538"/>
    <w:rPr>
      <w:rFonts w:ascii="Lucida Grande" w:hAnsi="Lucida Grande" w:cs="Lucida Grande"/>
      <w:sz w:val="18"/>
      <w:szCs w:val="18"/>
    </w:rPr>
  </w:style>
  <w:style w:type="character" w:styleId="Hyperlink">
    <w:name w:val="Hyperlink"/>
    <w:basedOn w:val="DefaultParagraphFont"/>
    <w:uiPriority w:val="99"/>
    <w:unhideWhenUsed/>
    <w:rsid w:val="00843538"/>
    <w:rPr>
      <w:color w:val="0000FF" w:themeColor="hyperlink"/>
      <w:u w:val="single"/>
    </w:rPr>
  </w:style>
  <w:style w:type="character" w:styleId="FollowedHyperlink">
    <w:name w:val="FollowedHyperlink"/>
    <w:basedOn w:val="DefaultParagraphFont"/>
    <w:uiPriority w:val="99"/>
    <w:semiHidden/>
    <w:unhideWhenUsed/>
    <w:rsid w:val="00843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irs.gov/Retirement-Plans/Retirement-Plans-for-Self-Employed-People" TargetMode="External"/><Relationship Id="rId8" Type="http://schemas.openxmlformats.org/officeDocument/2006/relationships/hyperlink" Target="http://www.irs.gov/Businesses/Small-Businesses-&amp;-Self-Employed/Estimated-Tax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2132</Characters>
  <Application>Microsoft Macintosh Word</Application>
  <DocSecurity>0</DocSecurity>
  <Lines>17</Lines>
  <Paragraphs>4</Paragraphs>
  <ScaleCrop>false</ScaleCrop>
  <Company>Customized Keepsakes</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D. Scott User</dc:creator>
  <cp:keywords/>
  <dc:description/>
  <cp:lastModifiedBy>Hugh D. Scott User</cp:lastModifiedBy>
  <cp:revision>2</cp:revision>
  <cp:lastPrinted>2015-04-30T03:06:00Z</cp:lastPrinted>
  <dcterms:created xsi:type="dcterms:W3CDTF">2015-06-19T15:28:00Z</dcterms:created>
  <dcterms:modified xsi:type="dcterms:W3CDTF">2015-06-19T15:28:00Z</dcterms:modified>
</cp:coreProperties>
</file>